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yle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1563"/>
        <w:gridCol w:w="951"/>
      </w:tblGrid>
      <w:tr w:rsidR="00F47FCB" w:rsidRPr="00546B57" w14:paraId="0AA8219B" w14:textId="6F03C8E1" w:rsidTr="00F47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3C399B4E" w14:textId="77777777" w:rsidR="00F47FCB" w:rsidRPr="00546B57" w:rsidRDefault="00F47FCB" w:rsidP="00B35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0907C89F" w14:textId="270AB82D" w:rsidR="00F47FCB" w:rsidRPr="00546B57" w:rsidRDefault="00F47FCB" w:rsidP="00B3500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sz w:val="22"/>
                <w:szCs w:val="22"/>
              </w:rPr>
              <w:t xml:space="preserve">Per 100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confirmed positive </w:t>
            </w:r>
            <w:r w:rsidRPr="00546B57">
              <w:rPr>
                <w:rFonts w:ascii="Calibri" w:hAnsi="Calibri" w:cs="Calibri"/>
                <w:sz w:val="22"/>
                <w:szCs w:val="22"/>
              </w:rPr>
              <w:t>cases</w:t>
            </w:r>
          </w:p>
        </w:tc>
        <w:tc>
          <w:tcPr>
            <w:tcW w:w="25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3E5333" w14:textId="2A24D560" w:rsidR="00F47FCB" w:rsidRPr="00B3500D" w:rsidRDefault="00F47FCB" w:rsidP="00B3500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3500D">
              <w:rPr>
                <w:rFonts w:ascii="Calibri" w:hAnsi="Calibri" w:cs="Calibri"/>
                <w:sz w:val="22"/>
                <w:szCs w:val="22"/>
              </w:rPr>
              <w:t>Example daily cases</w:t>
            </w:r>
          </w:p>
        </w:tc>
      </w:tr>
      <w:tr w:rsidR="00F47FCB" w:rsidRPr="00546B57" w14:paraId="6363CAF6" w14:textId="150AC849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6F1DE05E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Positive cases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683564AA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3" w:type="dxa"/>
            <w:shd w:val="clear" w:color="auto" w:fill="auto"/>
          </w:tcPr>
          <w:p w14:paraId="79CF4528" w14:textId="0C8D03C8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951" w:type="dxa"/>
            <w:shd w:val="clear" w:color="auto" w:fill="auto"/>
          </w:tcPr>
          <w:p w14:paraId="59B25CA1" w14:textId="3847C030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35,000</w:t>
            </w:r>
          </w:p>
        </w:tc>
      </w:tr>
      <w:tr w:rsidR="00F47FCB" w:rsidRPr="00546B57" w14:paraId="3F127815" w14:textId="2A986A9A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</w:tcPr>
          <w:p w14:paraId="70DF5AA6" w14:textId="567262E2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Average share by age-group (%):</w:t>
            </w:r>
            <w:r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542" w:type="dxa"/>
            <w:shd w:val="clear" w:color="auto" w:fill="auto"/>
            <w:noWrap/>
          </w:tcPr>
          <w:p w14:paraId="43A57F53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67CD6CE7" w14:textId="24157F85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43E4ED1" w14:textId="6F98569B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05DDE94C" w14:textId="55627C98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066E2D37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Children positive cases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4BC95565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3" w:type="dxa"/>
            <w:shd w:val="clear" w:color="auto" w:fill="auto"/>
          </w:tcPr>
          <w:p w14:paraId="484DDAA7" w14:textId="18D6B9EB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E52B6CD" w14:textId="5790CA65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4579FF17" w14:textId="063B9950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2D4BC7C7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Working-age positive cases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4F3BD57D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3" w:type="dxa"/>
            <w:shd w:val="clear" w:color="auto" w:fill="auto"/>
          </w:tcPr>
          <w:p w14:paraId="7A82CA6C" w14:textId="00A730EF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7754670" w14:textId="68B17216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75DE02D9" w14:textId="291C0F41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743BF7A9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Pensioner positive cases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B98F439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shd w:val="clear" w:color="auto" w:fill="auto"/>
          </w:tcPr>
          <w:p w14:paraId="40BAB978" w14:textId="290CFC05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481FEEA" w14:textId="7A729752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3AF2B6AB" w14:textId="7A1D29BA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61203E5C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14:paraId="2D052F42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3AA3D294" w14:textId="77777777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4BD6B2CA" w14:textId="77777777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5CFC51AB" w14:textId="0695D0B8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shd w:val="clear" w:color="auto" w:fill="auto"/>
            <w:noWrap/>
          </w:tcPr>
          <w:p w14:paraId="3C74D472" w14:textId="74248878" w:rsidR="00F47FCB" w:rsidRDefault="00F47FCB" w:rsidP="00F47F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each case, a further 1.5 people are contacted through T&amp;T.</w:t>
            </w:r>
            <w:r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 estimate that roughly 1.2 are of working-age.</w:t>
            </w:r>
            <w:r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3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FCB" w:rsidRPr="00546B57" w14:paraId="194840EB" w14:textId="6906FCB1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0C5680BC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Contacts who are working age 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6D957221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3" w:type="dxa"/>
            <w:shd w:val="clear" w:color="auto" w:fill="auto"/>
          </w:tcPr>
          <w:p w14:paraId="035B5F72" w14:textId="722D1253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36,084</w:t>
            </w:r>
          </w:p>
        </w:tc>
        <w:tc>
          <w:tcPr>
            <w:tcW w:w="951" w:type="dxa"/>
            <w:shd w:val="clear" w:color="auto" w:fill="auto"/>
          </w:tcPr>
          <w:p w14:paraId="4C1905FD" w14:textId="4AFFC6D6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42,098</w:t>
            </w:r>
          </w:p>
        </w:tc>
      </w:tr>
      <w:tr w:rsidR="00F47FCB" w:rsidRPr="00546B57" w14:paraId="62C4B0A4" w14:textId="7707A621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03EF44A0" w14:textId="2E5FE160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From children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0D286C05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14:paraId="5BD30181" w14:textId="4624DC92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B7D3D6A" w14:textId="77777777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2725E3B7" w14:textId="0EAA0E69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2EB95F97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From working-age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894FFCC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3" w:type="dxa"/>
            <w:shd w:val="clear" w:color="auto" w:fill="auto"/>
          </w:tcPr>
          <w:p w14:paraId="5E5CCFCF" w14:textId="0F2EAA2E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CF79236" w14:textId="77777777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1CE1995A" w14:textId="30B0E0B5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739DBC91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From pensioner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055805C2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3" w:type="dxa"/>
            <w:shd w:val="clear" w:color="auto" w:fill="auto"/>
          </w:tcPr>
          <w:p w14:paraId="0AD52F48" w14:textId="0C4351B9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0CA95759" w14:textId="77777777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6929D4DA" w14:textId="5788B1C5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15C4DC2D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14:paraId="3C3F72F4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654D88A7" w14:textId="162896E2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218B480" w14:textId="77777777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07DD0B05" w14:textId="78D1557C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04D7A3B6" w14:textId="69D95293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Total working-age required to self-isolate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(72 cases and 120 contacts)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5FB041E6" w14:textId="68AC7EE9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  <w:r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563" w:type="dxa"/>
            <w:shd w:val="clear" w:color="auto" w:fill="auto"/>
          </w:tcPr>
          <w:p w14:paraId="56F74E8F" w14:textId="0DA2E3BA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57,757</w:t>
            </w:r>
          </w:p>
        </w:tc>
        <w:tc>
          <w:tcPr>
            <w:tcW w:w="951" w:type="dxa"/>
            <w:shd w:val="clear" w:color="auto" w:fill="auto"/>
          </w:tcPr>
          <w:p w14:paraId="11C95EBA" w14:textId="7CE869BF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67,383</w:t>
            </w:r>
          </w:p>
        </w:tc>
      </w:tr>
      <w:tr w:rsidR="00F47FCB" w:rsidRPr="00546B57" w14:paraId="3CDB7908" w14:textId="7543AF9A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45FC78F6" w14:textId="7777777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Of whom: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01B94D69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0159014" w14:textId="2E3124DC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40B4A354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74FA9368" w14:textId="6CEA9512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4ABEF11D" w14:textId="1874541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Are in work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(79% employment rate assumed)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1A34C1C6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63" w:type="dxa"/>
            <w:shd w:val="clear" w:color="auto" w:fill="auto"/>
          </w:tcPr>
          <w:p w14:paraId="514D5BC5" w14:textId="3D070EEB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45,628</w:t>
            </w:r>
          </w:p>
        </w:tc>
        <w:tc>
          <w:tcPr>
            <w:tcW w:w="951" w:type="dxa"/>
            <w:shd w:val="clear" w:color="auto" w:fill="auto"/>
          </w:tcPr>
          <w:p w14:paraId="7E65BF48" w14:textId="21D83EF0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53,233</w:t>
            </w:r>
          </w:p>
        </w:tc>
      </w:tr>
      <w:tr w:rsidR="00F47FCB" w:rsidRPr="00546B57" w14:paraId="2E81F7C1" w14:textId="20683527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4BF5EBC0" w14:textId="5141B14F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Have below average income and cannot work from home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(43% of those who are in work earn below median wage and cannot work from home)</w:t>
            </w:r>
            <w:r>
              <w:rPr>
                <w:rStyle w:val="FootnoteReference"/>
                <w:rFonts w:ascii="Calibri" w:hAnsi="Calibri" w:cs="Calibri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3461FF0A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3" w:type="dxa"/>
            <w:shd w:val="clear" w:color="auto" w:fill="auto"/>
          </w:tcPr>
          <w:p w14:paraId="1DD9372D" w14:textId="52D417A0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19,553</w:t>
            </w:r>
          </w:p>
        </w:tc>
        <w:tc>
          <w:tcPr>
            <w:tcW w:w="951" w:type="dxa"/>
            <w:shd w:val="clear" w:color="auto" w:fill="auto"/>
          </w:tcPr>
          <w:p w14:paraId="58CBE6B8" w14:textId="2C58AF82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22,812</w:t>
            </w:r>
          </w:p>
        </w:tc>
      </w:tr>
      <w:tr w:rsidR="00F47FCB" w:rsidRPr="00546B57" w14:paraId="717E873F" w14:textId="215EFA9C" w:rsidTr="00F47F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</w:tcPr>
          <w:p w14:paraId="05D810AE" w14:textId="7132230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 whom:</w:t>
            </w:r>
          </w:p>
        </w:tc>
        <w:tc>
          <w:tcPr>
            <w:tcW w:w="1542" w:type="dxa"/>
            <w:shd w:val="clear" w:color="auto" w:fill="auto"/>
            <w:noWrap/>
          </w:tcPr>
          <w:p w14:paraId="4D049530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43DC3232" w14:textId="77777777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3C0FD60" w14:textId="77777777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CB" w:rsidRPr="00546B57" w14:paraId="3FE8F531" w14:textId="2DC52963" w:rsidTr="00F47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4B0A67C7" w14:textId="334328D7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</w:t>
            </w:r>
            <w:r w:rsidR="00AB7A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already </w:t>
            </w: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claiming UC or other qualifying benefits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693C0DC4" w14:textId="77777777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3" w:type="dxa"/>
            <w:shd w:val="clear" w:color="auto" w:fill="auto"/>
          </w:tcPr>
          <w:p w14:paraId="2B435FA7" w14:textId="2D9B2F31" w:rsidR="00F47FCB" w:rsidRPr="00546B57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4,888</w:t>
            </w:r>
          </w:p>
        </w:tc>
        <w:tc>
          <w:tcPr>
            <w:tcW w:w="951" w:type="dxa"/>
            <w:shd w:val="clear" w:color="auto" w:fill="auto"/>
          </w:tcPr>
          <w:p w14:paraId="7FD188D0" w14:textId="4F74AE7A" w:rsidR="00F47FCB" w:rsidRPr="00B3500D" w:rsidRDefault="00F47FCB" w:rsidP="00F47FC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5,703</w:t>
            </w:r>
          </w:p>
        </w:tc>
      </w:tr>
      <w:tr w:rsidR="00F47FCB" w:rsidRPr="00546B57" w14:paraId="2068B655" w14:textId="247A8934" w:rsidTr="00F47FCB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auto"/>
            <w:noWrap/>
            <w:hideMark/>
          </w:tcPr>
          <w:p w14:paraId="67131C3C" w14:textId="1A01967C" w:rsidR="00F47FCB" w:rsidRPr="00546B57" w:rsidRDefault="00F47FCB" w:rsidP="00F47FC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Should be eligible under the discretionary scheme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(would be eligible for UC if they lost their </w:t>
            </w:r>
            <w:r w:rsidR="00AB7A2B">
              <w:rPr>
                <w:rFonts w:ascii="Calibri" w:hAnsi="Calibri" w:cs="Calibri"/>
                <w:color w:val="000000"/>
                <w:sz w:val="22"/>
                <w:szCs w:val="22"/>
              </w:rPr>
              <w:t>earnings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14:paraId="632F15EB" w14:textId="77777777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6B5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3" w:type="dxa"/>
            <w:shd w:val="clear" w:color="auto" w:fill="auto"/>
          </w:tcPr>
          <w:p w14:paraId="2A11E798" w14:textId="356E2B04" w:rsidR="00F47FCB" w:rsidRPr="00546B57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14,665</w:t>
            </w:r>
          </w:p>
        </w:tc>
        <w:tc>
          <w:tcPr>
            <w:tcW w:w="951" w:type="dxa"/>
            <w:shd w:val="clear" w:color="auto" w:fill="auto"/>
          </w:tcPr>
          <w:p w14:paraId="0BEE4A43" w14:textId="64C0C1E9" w:rsidR="00F47FCB" w:rsidRPr="00B3500D" w:rsidRDefault="00F47FCB" w:rsidP="00F47F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7FCB">
              <w:rPr>
                <w:rFonts w:ascii="Calibri" w:hAnsi="Calibri" w:cs="Calibri"/>
                <w:color w:val="000000"/>
                <w:sz w:val="22"/>
                <w:szCs w:val="22"/>
              </w:rPr>
              <w:t>17,109</w:t>
            </w:r>
          </w:p>
        </w:tc>
      </w:tr>
    </w:tbl>
    <w:p w14:paraId="4DBC78D3" w14:textId="77777777" w:rsidR="00546B57" w:rsidRDefault="00546B57"/>
    <w:sectPr w:rsidR="0054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F7ED" w14:textId="77777777" w:rsidR="00335397" w:rsidRDefault="00335397" w:rsidP="00062006">
      <w:pPr>
        <w:spacing w:after="0" w:line="240" w:lineRule="auto"/>
      </w:pPr>
      <w:r>
        <w:separator/>
      </w:r>
    </w:p>
  </w:endnote>
  <w:endnote w:type="continuationSeparator" w:id="0">
    <w:p w14:paraId="6CCFD0A2" w14:textId="77777777" w:rsidR="00335397" w:rsidRDefault="00335397" w:rsidP="0006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43C2" w14:textId="77777777" w:rsidR="00335397" w:rsidRDefault="00335397" w:rsidP="00062006">
      <w:pPr>
        <w:spacing w:after="0" w:line="240" w:lineRule="auto"/>
      </w:pPr>
      <w:r>
        <w:separator/>
      </w:r>
    </w:p>
  </w:footnote>
  <w:footnote w:type="continuationSeparator" w:id="0">
    <w:p w14:paraId="5CF1D8EB" w14:textId="77777777" w:rsidR="00335397" w:rsidRDefault="00335397" w:rsidP="00062006">
      <w:pPr>
        <w:spacing w:after="0" w:line="240" w:lineRule="auto"/>
      </w:pPr>
      <w:r>
        <w:continuationSeparator/>
      </w:r>
    </w:p>
  </w:footnote>
  <w:footnote w:id="1">
    <w:p w14:paraId="7D486E43" w14:textId="5C887FFF" w:rsidR="00F47FCB" w:rsidRDefault="00F47FCB" w:rsidP="00F47F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NPI analysis of positive </w:t>
      </w:r>
      <w:proofErr w:type="spellStart"/>
      <w:r>
        <w:t>Covid</w:t>
      </w:r>
      <w:proofErr w:type="spellEnd"/>
      <w:r>
        <w:t xml:space="preserve"> cases in England 17</w:t>
      </w:r>
      <w:r>
        <w:rPr>
          <w:vertAlign w:val="superscript"/>
        </w:rPr>
        <w:t xml:space="preserve">th </w:t>
      </w:r>
      <w:r>
        <w:t>to 23</w:t>
      </w:r>
      <w:r w:rsidRPr="00F47FCB">
        <w:rPr>
          <w:vertAlign w:val="superscript"/>
        </w:rPr>
        <w:t>rd</w:t>
      </w:r>
      <w:r>
        <w:t xml:space="preserve"> December. </w:t>
      </w:r>
    </w:p>
  </w:footnote>
  <w:footnote w:id="2">
    <w:p w14:paraId="0DB3D045" w14:textId="6EAC0F81" w:rsidR="00F47FCB" w:rsidRDefault="00F47F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53004">
        <w:t xml:space="preserve">Health Foundation, </w:t>
      </w:r>
      <w:hyperlink r:id="rId1" w:history="1">
        <w:r w:rsidR="00653004" w:rsidRPr="00653004">
          <w:rPr>
            <w:rStyle w:val="Hyperlink"/>
          </w:rPr>
          <w:t>NHS Test and Trace performance tracker</w:t>
        </w:r>
      </w:hyperlink>
      <w:r w:rsidR="00653004">
        <w:t>, data used was for the period 19</w:t>
      </w:r>
      <w:r w:rsidR="00653004" w:rsidRPr="00653004">
        <w:rPr>
          <w:vertAlign w:val="superscript"/>
        </w:rPr>
        <w:t>th</w:t>
      </w:r>
      <w:r w:rsidR="00653004">
        <w:t xml:space="preserve"> to 25</w:t>
      </w:r>
      <w:r w:rsidR="00653004" w:rsidRPr="00653004">
        <w:rPr>
          <w:vertAlign w:val="superscript"/>
        </w:rPr>
        <w:t>th</w:t>
      </w:r>
      <w:r w:rsidR="00653004">
        <w:t xml:space="preserve"> November this provided an average of 1.5 contacts per case.</w:t>
      </w:r>
    </w:p>
  </w:footnote>
  <w:footnote w:id="3">
    <w:p w14:paraId="69267421" w14:textId="051BBA0D" w:rsidR="00F47FCB" w:rsidRDefault="00F47F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53004">
        <w:t xml:space="preserve">It is assumed all children contacts require a working-age adult to self-isolate, for adults it is assumed of contacts 76% are of working-age, the working-age share of the English adult population. </w:t>
      </w:r>
    </w:p>
  </w:footnote>
  <w:footnote w:id="4">
    <w:p w14:paraId="3C8DA070" w14:textId="79D1D902" w:rsidR="00F47FCB" w:rsidRDefault="00F47FCB" w:rsidP="00F47F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53004">
        <w:t>The discrepancies here are due to rounding.</w:t>
      </w:r>
      <w:r>
        <w:t xml:space="preserve"> </w:t>
      </w:r>
    </w:p>
  </w:footnote>
  <w:footnote w:id="5">
    <w:p w14:paraId="603C10B8" w14:textId="1717A6D3" w:rsidR="00F47FCB" w:rsidRDefault="00F47FCB" w:rsidP="00F47F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53004">
        <w:t xml:space="preserve">NPI analysis of ONS </w:t>
      </w:r>
      <w:hyperlink r:id="rId2" w:history="1">
        <w:r w:rsidR="00653004" w:rsidRPr="00653004">
          <w:rPr>
            <w:rStyle w:val="Hyperlink"/>
          </w:rPr>
          <w:t>Which jobs can be done from home?</w:t>
        </w:r>
      </w:hyperlink>
      <w:r w:rsidR="00653004">
        <w:t xml:space="preserve"> Produces the estimate of 43% of </w:t>
      </w:r>
      <w:r w:rsidR="00AB7A2B">
        <w:t xml:space="preserve">those in work </w:t>
      </w:r>
      <w:r w:rsidR="00653004">
        <w:t xml:space="preserve">cannot work at home and earn below median wage. Previous NPI research found that half of </w:t>
      </w:r>
      <w:r w:rsidR="00AB7A2B">
        <w:t xml:space="preserve">those in work are either receiving UC already or </w:t>
      </w:r>
      <w:r w:rsidR="00653004">
        <w:t xml:space="preserve">would be eligible for </w:t>
      </w:r>
      <w:r w:rsidR="00AB7A2B">
        <w:t xml:space="preserve">it </w:t>
      </w:r>
      <w:r w:rsidR="00653004">
        <w:t xml:space="preserve">if they lost </w:t>
      </w:r>
      <w:r w:rsidR="00AB7A2B">
        <w:t>their earnings. Earning below the median wage is taken here to be a proxy for those workers.</w:t>
      </w:r>
      <w:r w:rsidR="0065300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767"/>
    <w:multiLevelType w:val="hybridMultilevel"/>
    <w:tmpl w:val="90AA46BA"/>
    <w:lvl w:ilvl="0" w:tplc="7528E650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  <w:color w:val="505050"/>
      </w:rPr>
    </w:lvl>
    <w:lvl w:ilvl="1" w:tplc="B344ED6C">
      <w:start w:val="1"/>
      <w:numFmt w:val="bullet"/>
      <w:pStyle w:val="ListParagraph2"/>
      <w:lvlText w:val=""/>
      <w:lvlJc w:val="left"/>
      <w:pPr>
        <w:ind w:left="1440" w:hanging="360"/>
      </w:pPr>
      <w:rPr>
        <w:rFonts w:ascii="Wingdings" w:hAnsi="Wingdings" w:hint="default"/>
        <w:color w:val="2C72A4"/>
        <w:sz w:val="3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9B3"/>
    <w:multiLevelType w:val="hybridMultilevel"/>
    <w:tmpl w:val="D3AAA7CC"/>
    <w:lvl w:ilvl="0" w:tplc="AAB2F5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505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7"/>
    <w:rsid w:val="00062006"/>
    <w:rsid w:val="000B0F5A"/>
    <w:rsid w:val="001036B1"/>
    <w:rsid w:val="001C209D"/>
    <w:rsid w:val="00335397"/>
    <w:rsid w:val="004E0A04"/>
    <w:rsid w:val="00546B57"/>
    <w:rsid w:val="006247FE"/>
    <w:rsid w:val="00653004"/>
    <w:rsid w:val="007065AA"/>
    <w:rsid w:val="008212F6"/>
    <w:rsid w:val="00AB7A2B"/>
    <w:rsid w:val="00AF47A5"/>
    <w:rsid w:val="00B3500D"/>
    <w:rsid w:val="00CA306F"/>
    <w:rsid w:val="00D4765A"/>
    <w:rsid w:val="00D61118"/>
    <w:rsid w:val="00E45EED"/>
    <w:rsid w:val="00F47FCB"/>
    <w:rsid w:val="00F86D55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2161"/>
  <w15:chartTrackingRefBased/>
  <w15:docId w15:val="{FC249A03-2289-413F-B145-9A7892A3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18"/>
    <w:pPr>
      <w:spacing w:after="240" w:line="288" w:lineRule="auto"/>
    </w:pPr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1118"/>
    <w:pPr>
      <w:pageBreakBefore/>
      <w:spacing w:line="240" w:lineRule="auto"/>
      <w:outlineLvl w:val="0"/>
    </w:pPr>
    <w:rPr>
      <w:rFonts w:ascii="Century Gothic" w:eastAsia="Times New Roman" w:hAnsi="Century Gothic" w:cs="Times New Roman"/>
      <w:b/>
      <w:color w:val="2C72A4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61118"/>
    <w:pPr>
      <w:keepNext/>
      <w:spacing w:before="480" w:line="240" w:lineRule="auto"/>
      <w:outlineLvl w:val="1"/>
    </w:pPr>
    <w:rPr>
      <w:rFonts w:ascii="Century Gothic" w:eastAsia="Times New Roman" w:hAnsi="Century Gothic" w:cs="Times New Roman"/>
      <w:b/>
      <w:color w:val="2C72A4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61118"/>
    <w:pPr>
      <w:keepNext/>
      <w:spacing w:before="360" w:line="240" w:lineRule="auto"/>
      <w:outlineLvl w:val="2"/>
    </w:pPr>
    <w:rPr>
      <w:rFonts w:ascii="Century Gothic" w:eastAsia="Times New Roman" w:hAnsi="Century Gothic" w:cs="Times New Roman"/>
      <w:b/>
      <w:bCs/>
      <w:color w:val="2C72A4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61118"/>
    <w:pPr>
      <w:keepNext/>
      <w:spacing w:before="240" w:after="120" w:line="240" w:lineRule="auto"/>
      <w:outlineLvl w:val="3"/>
    </w:pPr>
    <w:rPr>
      <w:rFonts w:ascii="Century Gothic" w:eastAsiaTheme="majorEastAsia" w:hAnsi="Century Gothic" w:cstheme="majorBidi"/>
      <w:b/>
      <w:bCs/>
      <w:color w:val="505050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61118"/>
    <w:pPr>
      <w:spacing w:line="240" w:lineRule="auto"/>
    </w:pPr>
    <w:rPr>
      <w:rFonts w:eastAsia="Times New Roman" w:cs="Times New Roman"/>
      <w:b/>
      <w:bCs/>
      <w:color w:val="4472C4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61118"/>
    <w:rPr>
      <w:rFonts w:ascii="Century Gothic" w:eastAsiaTheme="majorEastAsia" w:hAnsi="Century Gothic" w:cstheme="majorBidi"/>
      <w:b/>
      <w:bCs/>
      <w:color w:val="505050"/>
      <w:sz w:val="24"/>
      <w:szCs w:val="28"/>
      <w:lang w:eastAsia="en-GB"/>
    </w:rPr>
  </w:style>
  <w:style w:type="paragraph" w:customStyle="1" w:styleId="Figureheading">
    <w:name w:val="Figure heading"/>
    <w:basedOn w:val="Heading4"/>
    <w:link w:val="FigureheadingChar"/>
    <w:qFormat/>
    <w:rsid w:val="00D61118"/>
    <w:rPr>
      <w:rFonts w:eastAsia="Times New Roman" w:cs="Times New Roman"/>
    </w:rPr>
  </w:style>
  <w:style w:type="character" w:customStyle="1" w:styleId="FigureheadingChar">
    <w:name w:val="Figure heading Char"/>
    <w:basedOn w:val="Heading4Char"/>
    <w:link w:val="Figureheading"/>
    <w:rsid w:val="00D61118"/>
    <w:rPr>
      <w:rFonts w:ascii="Century Gothic" w:eastAsia="Times New Roman" w:hAnsi="Century Gothic" w:cs="Times New Roman"/>
      <w:b/>
      <w:bCs/>
      <w:color w:val="505050"/>
      <w:sz w:val="24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D61118"/>
    <w:rPr>
      <w:rFonts w:ascii="Century Gothic" w:eastAsia="Times New Roman" w:hAnsi="Century Gothic" w:cs="Times New Roman"/>
      <w:b/>
      <w:color w:val="2C72A4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61118"/>
    <w:rPr>
      <w:rFonts w:ascii="Century Gothic" w:eastAsia="Times New Roman" w:hAnsi="Century Gothic" w:cs="Times New Roman"/>
      <w:b/>
      <w:color w:val="2C72A4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D61118"/>
    <w:rPr>
      <w:rFonts w:ascii="Century Gothic" w:eastAsia="Times New Roman" w:hAnsi="Century Gothic" w:cs="Times New Roman"/>
      <w:b/>
      <w:bCs/>
      <w:color w:val="2C72A4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1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1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61118"/>
    <w:pPr>
      <w:numPr>
        <w:numId w:val="1"/>
      </w:numPr>
      <w:spacing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1118"/>
    <w:rPr>
      <w:rFonts w:ascii="Arial" w:hAnsi="Arial"/>
      <w:sz w:val="24"/>
      <w:szCs w:val="24"/>
      <w:lang w:eastAsia="en-GB"/>
    </w:rPr>
  </w:style>
  <w:style w:type="paragraph" w:customStyle="1" w:styleId="ListParagraph2">
    <w:name w:val="List Paragraph 2"/>
    <w:basedOn w:val="ListParagraph"/>
    <w:link w:val="ListParagraph2Char"/>
    <w:qFormat/>
    <w:rsid w:val="00D61118"/>
    <w:pPr>
      <w:numPr>
        <w:ilvl w:val="1"/>
        <w:numId w:val="3"/>
      </w:numPr>
    </w:pPr>
    <w:rPr>
      <w:rFonts w:eastAsia="Times New Roman" w:cs="Times New Roman"/>
    </w:rPr>
  </w:style>
  <w:style w:type="character" w:customStyle="1" w:styleId="ListParagraph2Char">
    <w:name w:val="List Paragraph 2 Char"/>
    <w:basedOn w:val="ListParagraphChar"/>
    <w:link w:val="ListParagraph2"/>
    <w:rsid w:val="00D61118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D61118"/>
    <w:pPr>
      <w:numPr>
        <w:numId w:val="3"/>
      </w:numPr>
      <w:spacing w:after="120"/>
    </w:pPr>
    <w:rPr>
      <w:rFonts w:eastAsia="Times New Roman" w:cs="Times New Roman"/>
    </w:rPr>
  </w:style>
  <w:style w:type="character" w:customStyle="1" w:styleId="NumberedparagraphChar">
    <w:name w:val="Numbered paragraph Char"/>
    <w:basedOn w:val="ListParagraphChar"/>
    <w:link w:val="Numberedparagraph"/>
    <w:rsid w:val="00D61118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ource">
    <w:name w:val="Source"/>
    <w:basedOn w:val="Normal"/>
    <w:link w:val="SourceChar"/>
    <w:qFormat/>
    <w:rsid w:val="00D61118"/>
    <w:pPr>
      <w:jc w:val="right"/>
    </w:pPr>
    <w:rPr>
      <w:rFonts w:eastAsia="Times New Roman" w:cs="Times New Roman"/>
      <w:sz w:val="20"/>
    </w:rPr>
  </w:style>
  <w:style w:type="character" w:customStyle="1" w:styleId="SourceChar">
    <w:name w:val="Source Char"/>
    <w:basedOn w:val="DefaultParagraphFont"/>
    <w:link w:val="Source"/>
    <w:rsid w:val="00D61118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ablemain">
    <w:name w:val="Table main"/>
    <w:basedOn w:val="Normal"/>
    <w:link w:val="TablemainChar"/>
    <w:qFormat/>
    <w:rsid w:val="00D61118"/>
    <w:pPr>
      <w:spacing w:before="60" w:after="60"/>
    </w:pPr>
    <w:rPr>
      <w:rFonts w:eastAsia="Times New Roman" w:cs="Times New Roman"/>
    </w:rPr>
  </w:style>
  <w:style w:type="character" w:customStyle="1" w:styleId="TablemainChar">
    <w:name w:val="Table main Char"/>
    <w:basedOn w:val="DefaultParagraphFont"/>
    <w:link w:val="Tablemain"/>
    <w:rsid w:val="00D61118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extboxbody">
    <w:name w:val="Text box body"/>
    <w:basedOn w:val="Normal"/>
    <w:link w:val="TextboxbodyChar"/>
    <w:qFormat/>
    <w:rsid w:val="00D61118"/>
    <w:rPr>
      <w:rFonts w:eastAsia="Times New Roman" w:cs="Times New Roman"/>
      <w:color w:val="FFFFFF" w:themeColor="background1"/>
    </w:rPr>
  </w:style>
  <w:style w:type="character" w:customStyle="1" w:styleId="TextboxbodyChar">
    <w:name w:val="Text box body Char"/>
    <w:basedOn w:val="DefaultParagraphFont"/>
    <w:link w:val="Textboxbody"/>
    <w:rsid w:val="00D61118"/>
    <w:rPr>
      <w:rFonts w:ascii="Arial" w:eastAsia="Times New Roman" w:hAnsi="Arial" w:cs="Times New Roman"/>
      <w:color w:val="FFFFFF" w:themeColor="background1"/>
      <w:sz w:val="24"/>
      <w:szCs w:val="24"/>
      <w:lang w:eastAsia="en-GB"/>
    </w:rPr>
  </w:style>
  <w:style w:type="paragraph" w:customStyle="1" w:styleId="Textboxheading">
    <w:name w:val="Text box heading"/>
    <w:basedOn w:val="Heading4"/>
    <w:link w:val="TextboxheadingChar"/>
    <w:qFormat/>
    <w:rsid w:val="00D61118"/>
    <w:rPr>
      <w:rFonts w:eastAsia="Times New Roman" w:cs="Times New Roman"/>
      <w:color w:val="FFFFFF" w:themeColor="background1"/>
    </w:rPr>
  </w:style>
  <w:style w:type="character" w:customStyle="1" w:styleId="TextboxheadingChar">
    <w:name w:val="Text box heading Char"/>
    <w:basedOn w:val="Heading4Char"/>
    <w:link w:val="Textboxheading"/>
    <w:rsid w:val="00D61118"/>
    <w:rPr>
      <w:rFonts w:ascii="Century Gothic" w:eastAsia="Times New Roman" w:hAnsi="Century Gothic" w:cs="Times New Roman"/>
      <w:b/>
      <w:bCs/>
      <w:color w:val="FFFFFF" w:themeColor="background1"/>
      <w:sz w:val="24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118"/>
    <w:pPr>
      <w:outlineLvl w:val="9"/>
    </w:pPr>
  </w:style>
  <w:style w:type="table" w:customStyle="1" w:styleId="Style1">
    <w:name w:val="Style1"/>
    <w:basedOn w:val="TableNormal"/>
    <w:uiPriority w:val="99"/>
    <w:rsid w:val="001036B1"/>
    <w:pPr>
      <w:spacing w:before="120" w:after="0" w:line="240" w:lineRule="auto"/>
      <w:jc w:val="center"/>
    </w:pPr>
    <w:rPr>
      <w:rFonts w:ascii="Arial Narrow" w:eastAsia="Times New Roman" w:hAnsi="Arial Narrow" w:cs="Times New Roman"/>
      <w:szCs w:val="20"/>
      <w:lang w:eastAsia="en-GB"/>
    </w:rPr>
    <w:tblPr>
      <w:tblStyleRowBandSize w:val="1"/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72A4"/>
      </w:tcPr>
    </w:tblStylePr>
    <w:tblStylePr w:type="firstCol">
      <w:pPr>
        <w:jc w:val="left"/>
      </w:pPr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62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006"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20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3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s.gov.uk/employmentandlabourmarket/peopleinwork/employmentandemployeetypes/articles/whichjobscanbedonefromhome/2020-07-21" TargetMode="External"/><Relationship Id="rId1" Type="http://schemas.openxmlformats.org/officeDocument/2006/relationships/hyperlink" Target="https://www.health.org.uk/news-and-comment/charts-and-infographics/nhs-test-and-trace-performance-tra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8B84-0A20-4C13-91E4-B9A640AD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Holden</dc:creator>
  <cp:keywords/>
  <dc:description/>
  <cp:lastModifiedBy>Bridget Mooney</cp:lastModifiedBy>
  <cp:revision>2</cp:revision>
  <dcterms:created xsi:type="dcterms:W3CDTF">2021-01-20T16:00:00Z</dcterms:created>
  <dcterms:modified xsi:type="dcterms:W3CDTF">2021-01-20T16:00:00Z</dcterms:modified>
</cp:coreProperties>
</file>